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7"/>
      <w:bookmarkEnd w:id="17"/>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Del="00000000" w:rsidR="00000000" w:rsidRPr="00000000">
        <w:rPr>
          <w:rFonts w:ascii="Arial" w:cs="Arial" w:eastAsia="Arial" w:hAnsi="Arial"/>
          <w:sz w:val="24"/>
          <w:szCs w:val="24"/>
          <w:rtl w:val="0"/>
        </w:rPr>
        <w:t xml:space="preserve">ability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6"/>
      <w:bookmarkEnd w:id="2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7"/>
      <w:bookmarkEnd w:id="27"/>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the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w:t>
            </w:r>
            <w:r w:rsidDel="00000000" w:rsidR="00000000" w:rsidRPr="00000000">
              <w:rPr>
                <w:rFonts w:ascii="Arial" w:cs="Arial" w:eastAsia="Arial" w:hAnsi="Arial"/>
                <w:sz w:val="24"/>
                <w:szCs w:val="24"/>
                <w:rtl w:val="0"/>
              </w:rPr>
              <w:t xml:space="preserve">Date</w:t>
            </w:r>
            <w:r w:rsidDel="00000000" w:rsidR="00000000" w:rsidRPr="00000000">
              <w:rPr>
                <w:rFonts w:ascii="Arial" w:cs="Arial" w:eastAsia="Arial" w:hAnsi="Arial"/>
                <w:sz w:val="24"/>
                <w:szCs w:val="24"/>
                <w:rtl w:val="0"/>
              </w:rPr>
              <w:t xml:space="preserv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in agreeing bulk transfer process with the Actuary to the Former Supplier’s Broadly Comparable pension scheme or the Actuary to the relevant Statutory Scheme  (as appropriate) and to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in agreeing a bulk transfer process with the Actuary to the relevant Statutory Scheme and to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1"/>
      <w:bookmarkEnd w:id="41"/>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3"/>
      <w:bookmarkEnd w:id="4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1"/>
      <w:bookmarkEnd w:id="5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59"/>
      <w:bookmarkEnd w:id="5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1"/>
      <w:bookmarkEnd w:id="61"/>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dQZR3jhvNfMfD4dGw+XGIvmR+Q==">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